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E" w:rsidRDefault="00887D6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24CEA1B">
            <wp:extent cx="4437380" cy="5657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36640" cy="5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52DE" w:rsidRDefault="00CF52DE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F52DE" w:rsidRPr="006E19C2" w:rsidRDefault="00887D6A">
      <w:pPr>
        <w:tabs>
          <w:tab w:val="left" w:pos="1560"/>
        </w:tabs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 xml:space="preserve">Юридический адрес: 107150, </w:t>
      </w:r>
      <w:proofErr w:type="spellStart"/>
      <w:r w:rsidRPr="006E19C2">
        <w:rPr>
          <w:rFonts w:cs="Arial"/>
          <w:b/>
          <w:i/>
          <w:sz w:val="18"/>
          <w:szCs w:val="18"/>
        </w:rPr>
        <w:t>г</w:t>
      </w:r>
      <w:proofErr w:type="gramStart"/>
      <w:r w:rsidRPr="006E19C2">
        <w:rPr>
          <w:rFonts w:cs="Arial"/>
          <w:b/>
          <w:i/>
          <w:sz w:val="18"/>
          <w:szCs w:val="18"/>
        </w:rPr>
        <w:t>.М</w:t>
      </w:r>
      <w:proofErr w:type="gramEnd"/>
      <w:r w:rsidRPr="006E19C2">
        <w:rPr>
          <w:rFonts w:cs="Arial"/>
          <w:b/>
          <w:i/>
          <w:sz w:val="18"/>
          <w:szCs w:val="18"/>
        </w:rPr>
        <w:t>осква</w:t>
      </w:r>
      <w:proofErr w:type="spellEnd"/>
      <w:r w:rsidRPr="006E19C2">
        <w:rPr>
          <w:rFonts w:cs="Arial"/>
          <w:b/>
          <w:i/>
          <w:sz w:val="18"/>
          <w:szCs w:val="18"/>
        </w:rPr>
        <w:t xml:space="preserve">, </w:t>
      </w:r>
      <w:proofErr w:type="spellStart"/>
      <w:r w:rsidRPr="006E19C2">
        <w:rPr>
          <w:rFonts w:cs="Arial"/>
          <w:b/>
          <w:i/>
          <w:sz w:val="18"/>
          <w:szCs w:val="18"/>
        </w:rPr>
        <w:t>ул.Бойцовая</w:t>
      </w:r>
      <w:proofErr w:type="spellEnd"/>
      <w:r w:rsidRPr="006E19C2">
        <w:rPr>
          <w:rFonts w:cs="Arial"/>
          <w:b/>
          <w:i/>
          <w:sz w:val="18"/>
          <w:szCs w:val="18"/>
        </w:rPr>
        <w:t>, д.22, стр.3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ИНН 7718749818   КПП 771801001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proofErr w:type="gramStart"/>
      <w:r w:rsidRPr="006E19C2">
        <w:rPr>
          <w:rFonts w:cs="Arial"/>
          <w:b/>
          <w:i/>
          <w:sz w:val="18"/>
          <w:szCs w:val="18"/>
        </w:rPr>
        <w:t>р</w:t>
      </w:r>
      <w:proofErr w:type="gramEnd"/>
      <w:r w:rsidRPr="006E19C2">
        <w:rPr>
          <w:rFonts w:cs="Arial"/>
          <w:b/>
          <w:i/>
          <w:sz w:val="18"/>
          <w:szCs w:val="18"/>
        </w:rPr>
        <w:t>/с 40702810200410001872  ВТБ 24 (ПАО) ДО "Земляной вал"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к/с 30101810100000000716 БИК 044525716</w:t>
      </w:r>
    </w:p>
    <w:p w:rsidR="00CF52DE" w:rsidRPr="006E19C2" w:rsidRDefault="00887D6A">
      <w:pPr>
        <w:pBdr>
          <w:bottom w:val="single" w:sz="12" w:space="4" w:color="00000A"/>
        </w:pBd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тел.: 8-495-</w:t>
      </w:r>
      <w:r w:rsidR="006E19C2">
        <w:rPr>
          <w:rFonts w:cs="Arial"/>
          <w:b/>
          <w:i/>
          <w:sz w:val="18"/>
          <w:szCs w:val="18"/>
        </w:rPr>
        <w:t>789-52-17</w:t>
      </w:r>
    </w:p>
    <w:p w:rsidR="00CF52DE" w:rsidRPr="00473DF5" w:rsidRDefault="00C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F52DE" w:rsidRDefault="00887D6A">
      <w:pPr>
        <w:spacing w:after="0" w:line="240" w:lineRule="auto"/>
        <w:jc w:val="center"/>
        <w:rPr>
          <w:rFonts w:ascii="Bell MT" w:eastAsia="Calibri" w:hAnsi="Bell MT" w:cs="Arial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ПРАЙС</w:t>
      </w:r>
      <w:r>
        <w:rPr>
          <w:rFonts w:ascii="Bell MT" w:eastAsia="Calibri" w:hAnsi="Bell MT" w:cs="Arial"/>
          <w:b/>
          <w:lang w:eastAsia="ar-SA"/>
        </w:rPr>
        <w:t>-</w:t>
      </w:r>
      <w:r>
        <w:rPr>
          <w:rFonts w:ascii="Times New Roman" w:eastAsia="Calibri" w:hAnsi="Times New Roman" w:cs="Times New Roman"/>
          <w:b/>
          <w:lang w:eastAsia="ar-SA"/>
        </w:rPr>
        <w:t>ЛИСТ</w:t>
      </w:r>
    </w:p>
    <w:p w:rsidR="00CF52DE" w:rsidRDefault="00887D6A">
      <w:pPr>
        <w:suppressAutoHyphens/>
        <w:spacing w:line="240" w:lineRule="auto"/>
        <w:jc w:val="center"/>
        <w:rPr>
          <w:rFonts w:ascii="Bell MT" w:eastAsia="Calibri" w:hAnsi="Bell MT" w:cs="Arial"/>
          <w:lang w:eastAsia="ar-SA"/>
        </w:rPr>
      </w:pPr>
      <w:r>
        <w:rPr>
          <w:rFonts w:ascii="Times New Roman" w:eastAsia="Calibri" w:hAnsi="Times New Roman" w:cs="Times New Roman"/>
          <w:b/>
          <w:i/>
          <w:lang w:eastAsia="ar-SA"/>
        </w:rPr>
        <w:t>Цены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даны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с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учетом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НДС</w:t>
      </w:r>
      <w:r>
        <w:rPr>
          <w:rFonts w:ascii="Bell MT" w:eastAsia="Calibri" w:hAnsi="Bell MT" w:cs="Calibri"/>
          <w:b/>
          <w:i/>
          <w:lang w:eastAsia="ar-SA"/>
        </w:rPr>
        <w:t xml:space="preserve"> 18%.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Окончательные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цены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могут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корректироваться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в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зависимости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от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сроков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производства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работ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>!</w:t>
      </w:r>
    </w:p>
    <w:p w:rsidR="00CF52DE" w:rsidRDefault="00CF52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10065" w:type="dxa"/>
        <w:tblInd w:w="-1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07"/>
        <w:gridCol w:w="1995"/>
        <w:gridCol w:w="1843"/>
        <w:gridCol w:w="1843"/>
      </w:tblGrid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тех</w:t>
            </w:r>
            <w:bookmarkStart w:id="0" w:name="_GoBack"/>
            <w:bookmarkEnd w:id="0"/>
            <w:r w:rsidRPr="00C763B0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Объем ковша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глубина копания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Эксплуатационная масса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</w:tcPr>
          <w:p w:rsidR="0054465B" w:rsidRPr="00C763B0" w:rsidRDefault="0054465B" w:rsidP="00C763B0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смену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Гусеничный экскаватор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Кранекс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EK 270LC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1.25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7,7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27 700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18 000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Гусеничный экскаватор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Hyundai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R300LC-9S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1.5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6,9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29 700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18 000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Гусеничный экскаватор HITACHI-TX 210LC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1.1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6,3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20 900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Гусеничный экскаватор CASE СХ160B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0.76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6,0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16 000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14 000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Гусеничный экскаватор VOLVO 240NLC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1,3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6,98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24 300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14 000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Гусеничный экскаватор HITACHI ZX240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1,2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6,97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24 000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14 000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Гусеничный экскаватор DOOSAN 225L-CV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1,2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6,62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22 500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14 000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Экскаватор-погрузчик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Volvo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BL71B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0.2/1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5,3 мм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8.5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Экскаватор-погрузчик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Terex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TX970B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0.3/1.2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4, 900 мм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8.29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12 000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Экскаватор-погрузчик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Terex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TX860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0.3/1.2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4,460 мм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7,241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12 000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Экскаватор-погрузчик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New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Holland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555E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0.3/1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4,950 мм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6,354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12 000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Экскаватор-погрузчик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Hyundai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HB100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0.26/1.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5 800 мм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8 500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12 000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Экскаватор-погрузчик </w:t>
              </w:r>
              <w:proofErr w:type="spellStart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Caterpillar</w:t>
              </w:r>
              <w:proofErr w:type="spellEnd"/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450E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0.3/1.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5 260 мм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10 950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12 000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Экскаватор-погрузчик JCB 3CX SUPER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1/0,4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5,8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8 420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Экскаватор-погрузчик JCB-4CX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1,1/0,4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5,53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8 860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12 000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Экскаватор-погрузчик 4CX 2013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1,1/0.4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5,8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8 860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Экскаватор-погрузчик 4CX 2014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1,1/0.4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5,8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8 860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Экскаватор-погрузчик JCB 3CX 2010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1/0.4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5,8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8 070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Колесный экскаватор HITACHI ZX 160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0,9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5,34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16 000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000 руб.</w:t>
            </w:r>
          </w:p>
        </w:tc>
      </w:tr>
      <w:tr w:rsidR="0054465B" w:rsidRPr="00C763B0" w:rsidTr="0054465B">
        <w:tc>
          <w:tcPr>
            <w:tcW w:w="2977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C763B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C763B0">
                <w:rPr>
                  <w:rFonts w:ascii="inherit" w:eastAsia="Times New Roman" w:hAnsi="inherit" w:cs="Arial"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Колесный экскаватор CASE 1188</w:t>
              </w:r>
            </w:hyperlink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1,0 м3</w:t>
            </w:r>
          </w:p>
        </w:tc>
        <w:tc>
          <w:tcPr>
            <w:tcW w:w="1995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6,2 м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C763B0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20 500 кг</w:t>
            </w:r>
          </w:p>
        </w:tc>
        <w:tc>
          <w:tcPr>
            <w:tcW w:w="1843" w:type="dxa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</w:tcPr>
          <w:p w:rsidR="0054465B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13 000 руб.</w:t>
            </w:r>
          </w:p>
          <w:p w:rsidR="0054465B" w:rsidRPr="00C763B0" w:rsidRDefault="0054465B" w:rsidP="005446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 ковшом</w:t>
            </w:r>
          </w:p>
        </w:tc>
      </w:tr>
    </w:tbl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887D6A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>Генеральный директор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lang w:eastAsia="ru-RU"/>
        </w:rPr>
        <w:t xml:space="preserve">                           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>Гонтюрев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 xml:space="preserve"> А.Н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.          </w:t>
      </w:r>
      <w:r w:rsidR="0096440B">
        <w:rPr>
          <w:rFonts w:ascii="Arial Unicode MS" w:eastAsia="Arial Unicode MS" w:hAnsi="Arial Unicode MS" w:cs="Arial Unicode MS"/>
          <w:sz w:val="20"/>
          <w:szCs w:val="20"/>
          <w:lang w:eastAsia="ru-RU"/>
        </w:rPr>
        <w:t>________________ (подпись)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</w:t>
      </w:r>
    </w:p>
    <w:p w:rsidR="0096440B" w:rsidRDefault="00887D6A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                                   </w:t>
      </w:r>
    </w:p>
    <w:p w:rsidR="0096440B" w:rsidRDefault="0096440B" w:rsidP="009644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</w:p>
    <w:p w:rsidR="00CF52DE" w:rsidRDefault="00887D6A" w:rsidP="009644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>м.п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>.</w:t>
      </w:r>
    </w:p>
    <w:p w:rsidR="00CF52DE" w:rsidRDefault="00887D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ab/>
      </w:r>
    </w:p>
    <w:p w:rsidR="00CF52DE" w:rsidRDefault="00CF52DE">
      <w:pPr>
        <w:pStyle w:val="ab"/>
        <w:spacing w:after="0" w:line="240" w:lineRule="auto"/>
      </w:pPr>
    </w:p>
    <w:sectPr w:rsidR="00CF52DE">
      <w:headerReference w:type="default" r:id="rId2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03" w:rsidRDefault="00173A03">
      <w:pPr>
        <w:spacing w:after="0" w:line="240" w:lineRule="auto"/>
      </w:pPr>
      <w:r>
        <w:separator/>
      </w:r>
    </w:p>
  </w:endnote>
  <w:endnote w:type="continuationSeparator" w:id="0">
    <w:p w:rsidR="00173A03" w:rsidRDefault="0017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03" w:rsidRDefault="00173A03">
      <w:pPr>
        <w:spacing w:after="0" w:line="240" w:lineRule="auto"/>
      </w:pPr>
      <w:r>
        <w:separator/>
      </w:r>
    </w:p>
  </w:footnote>
  <w:footnote w:type="continuationSeparator" w:id="0">
    <w:p w:rsidR="00173A03" w:rsidRDefault="0017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DE" w:rsidRDefault="00CF52DE">
    <w:pPr>
      <w:pStyle w:val="af"/>
      <w:tabs>
        <w:tab w:val="left" w:pos="7404"/>
      </w:tabs>
    </w:pPr>
  </w:p>
  <w:p w:rsidR="00CF52DE" w:rsidRDefault="00CF52DE">
    <w:pPr>
      <w:pStyle w:val="af"/>
      <w:tabs>
        <w:tab w:val="left" w:pos="74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DE"/>
    <w:rsid w:val="00173A03"/>
    <w:rsid w:val="003174A6"/>
    <w:rsid w:val="00473DF5"/>
    <w:rsid w:val="00483C1D"/>
    <w:rsid w:val="0054465B"/>
    <w:rsid w:val="00591BEA"/>
    <w:rsid w:val="006B0125"/>
    <w:rsid w:val="006D306D"/>
    <w:rsid w:val="006E19C2"/>
    <w:rsid w:val="00887D6A"/>
    <w:rsid w:val="0096440B"/>
    <w:rsid w:val="00B20106"/>
    <w:rsid w:val="00C54622"/>
    <w:rsid w:val="00C763B0"/>
    <w:rsid w:val="00C82DD5"/>
    <w:rsid w:val="00CF52DE"/>
    <w:rsid w:val="00DC5C74"/>
    <w:rsid w:val="00DD7193"/>
    <w:rsid w:val="00F60024"/>
    <w:rsid w:val="00F761D6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76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121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121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31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5483"/>
  </w:style>
  <w:style w:type="character" w:customStyle="1" w:styleId="a5">
    <w:name w:val="Нижний колонтитул Знак"/>
    <w:basedOn w:val="a0"/>
    <w:uiPriority w:val="99"/>
    <w:semiHidden/>
    <w:qFormat/>
    <w:rsid w:val="0081548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Содержимое таблицы"/>
    <w:basedOn w:val="a"/>
    <w:qFormat/>
    <w:rsid w:val="00BE121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E12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5847"/>
    <w:pPr>
      <w:spacing w:before="120" w:after="120" w:line="240" w:lineRule="auto"/>
      <w:ind w:left="567" w:firstLine="567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22">
    <w:name w:val="Body Text 2"/>
    <w:basedOn w:val="a"/>
    <w:uiPriority w:val="99"/>
    <w:semiHidden/>
    <w:unhideWhenUsed/>
    <w:qFormat/>
    <w:rsid w:val="003158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5847"/>
    <w:rPr>
      <w:rFonts w:eastAsia="Times New Roman" w:cs="Times New Roman"/>
    </w:rPr>
  </w:style>
  <w:style w:type="paragraph" w:styleId="af">
    <w:name w:val="head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31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6440B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82DD5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C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76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121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121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31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5483"/>
  </w:style>
  <w:style w:type="character" w:customStyle="1" w:styleId="a5">
    <w:name w:val="Нижний колонтитул Знак"/>
    <w:basedOn w:val="a0"/>
    <w:uiPriority w:val="99"/>
    <w:semiHidden/>
    <w:qFormat/>
    <w:rsid w:val="0081548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Содержимое таблицы"/>
    <w:basedOn w:val="a"/>
    <w:qFormat/>
    <w:rsid w:val="00BE121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E12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5847"/>
    <w:pPr>
      <w:spacing w:before="120" w:after="120" w:line="240" w:lineRule="auto"/>
      <w:ind w:left="567" w:firstLine="567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22">
    <w:name w:val="Body Text 2"/>
    <w:basedOn w:val="a"/>
    <w:uiPriority w:val="99"/>
    <w:semiHidden/>
    <w:unhideWhenUsed/>
    <w:qFormat/>
    <w:rsid w:val="003158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5847"/>
    <w:rPr>
      <w:rFonts w:eastAsia="Times New Roman" w:cs="Times New Roman"/>
    </w:rPr>
  </w:style>
  <w:style w:type="paragraph" w:styleId="af">
    <w:name w:val="head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31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6440B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82DD5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C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oytranss.ru/arenda-ekskavatora/volvo-240nlc.html" TargetMode="External"/><Relationship Id="rId18" Type="http://schemas.openxmlformats.org/officeDocument/2006/relationships/hyperlink" Target="http://www.stroytranss.ru/arenda-ekskavatora/pogruzchika/terex-tx860.html" TargetMode="External"/><Relationship Id="rId26" Type="http://schemas.openxmlformats.org/officeDocument/2006/relationships/hyperlink" Target="http://www.stroytranss.ru/arenda-ekskavatora/pogruzchika/jcb-3cx-201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roytranss.ru/arenda-ekskavatora/pogruzchika/caterpillar-450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roytranss.ru/arenda-ekskavatora/case-cx160b.html" TargetMode="External"/><Relationship Id="rId17" Type="http://schemas.openxmlformats.org/officeDocument/2006/relationships/hyperlink" Target="http://www.stroytranss.ru/arenda-ekskavatora/pogruzchika/terex-tx970b.html" TargetMode="External"/><Relationship Id="rId25" Type="http://schemas.openxmlformats.org/officeDocument/2006/relationships/hyperlink" Target="http://www.stroytranss.ru/arenda-ekskavatora/pogruzchika/4cx-20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oytranss.ru/arenda-ekskavatora/pogruzchika/volvo-bl71b.html" TargetMode="External"/><Relationship Id="rId20" Type="http://schemas.openxmlformats.org/officeDocument/2006/relationships/hyperlink" Target="http://www.stroytranss.ru/arenda-ekskavatora/pogruzchika/hyundai-hb100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oytranss.ru/arenda-ekskavatora/hitachi-tx-210lc.html" TargetMode="External"/><Relationship Id="rId24" Type="http://schemas.openxmlformats.org/officeDocument/2006/relationships/hyperlink" Target="http://www.stroytranss.ru/arenda-ekskavatora/pogruzchika/4cx-20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oytranss.ru/arenda-ekskavatora/doosan-225l-cv.html" TargetMode="External"/><Relationship Id="rId23" Type="http://schemas.openxmlformats.org/officeDocument/2006/relationships/hyperlink" Target="http://www.stroytranss.ru/arenda-ekskavatora/pogruzchika/jcb-4cx.html" TargetMode="External"/><Relationship Id="rId28" Type="http://schemas.openxmlformats.org/officeDocument/2006/relationships/hyperlink" Target="http://www.stroytranss.ru/arenda-ekskavatora/case-1188.html" TargetMode="External"/><Relationship Id="rId10" Type="http://schemas.openxmlformats.org/officeDocument/2006/relationships/hyperlink" Target="http://www.stroytranss.ru/arenda-ekskavatora/hyundai-r300lc-9s.html" TargetMode="External"/><Relationship Id="rId19" Type="http://schemas.openxmlformats.org/officeDocument/2006/relationships/hyperlink" Target="http://www.stroytranss.ru/arenda-ekskavatora/pogruzchika/new-holland-555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oytranss.ru/arenda-ekskavatora/kraneks-ek-270lc.html" TargetMode="External"/><Relationship Id="rId14" Type="http://schemas.openxmlformats.org/officeDocument/2006/relationships/hyperlink" Target="http://www.stroytranss.ru/arenda-ekskavatora/hitachi-zx240.html" TargetMode="External"/><Relationship Id="rId22" Type="http://schemas.openxmlformats.org/officeDocument/2006/relationships/hyperlink" Target="http://www.stroytranss.ru/arenda-ekskavatora/pogruzchika/jcb-3cx-super.html" TargetMode="External"/><Relationship Id="rId27" Type="http://schemas.openxmlformats.org/officeDocument/2006/relationships/hyperlink" Target="http://www.stroytranss.ru/arenda-ekskavatora/hitachi-zx-160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47EF-DAB0-4783-B0C8-0FF38588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OF-2-1</dc:creator>
  <cp:lastModifiedBy>Гвоздева Злата</cp:lastModifiedBy>
  <cp:revision>3</cp:revision>
  <cp:lastPrinted>2017-05-18T08:08:00Z</cp:lastPrinted>
  <dcterms:created xsi:type="dcterms:W3CDTF">2018-07-20T14:51:00Z</dcterms:created>
  <dcterms:modified xsi:type="dcterms:W3CDTF">2018-07-20T15:16:00Z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